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NOTA DE PRENSA</w:t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Montserrat" w:cs="Montserrat" w:eastAsia="Montserrat" w:hAnsi="Montserrat"/>
          <w:b w:val="1"/>
          <w:sz w:val="32"/>
          <w:szCs w:val="32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32"/>
          <w:szCs w:val="32"/>
          <w:rtl w:val="0"/>
        </w:rPr>
        <w:t xml:space="preserve">9 de cada 10 entidades aseguradoras realizan algún proceso de recobro en su organización </w:t>
      </w:r>
    </w:p>
    <w:p w:rsidR="00000000" w:rsidDel="00000000" w:rsidP="00000000" w:rsidRDefault="00000000" w:rsidRPr="00000000" w14:paraId="00000004">
      <w:pPr>
        <w:jc w:val="center"/>
        <w:rPr>
          <w:rFonts w:ascii="Montserrat" w:cs="Montserrat" w:eastAsia="Montserrat" w:hAnsi="Montserrat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Montserrat" w:cs="Montserrat" w:eastAsia="Montserrat" w:hAnsi="Montserrat"/>
          <w:i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Según un estudio realizado por ICEA y pfs, el 83% del tiempo empleado en una reclamación se invierte en la fase amistosa del proceso</w:t>
      </w:r>
    </w:p>
    <w:p w:rsidR="00000000" w:rsidDel="00000000" w:rsidP="00000000" w:rsidRDefault="00000000" w:rsidRPr="00000000" w14:paraId="00000006">
      <w:pPr>
        <w:jc w:val="left"/>
        <w:rPr>
          <w:rFonts w:ascii="Montserrat" w:cs="Montserrat" w:eastAsia="Montserrat" w:hAnsi="Montserrat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Montserrat" w:cs="Montserrat" w:eastAsia="Montserrat" w:hAnsi="Montserrat"/>
          <w:i w:val="1"/>
          <w:color w:val="ff99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color w:val="ff9900"/>
          <w:sz w:val="24"/>
          <w:szCs w:val="24"/>
        </w:rPr>
        <w:drawing>
          <wp:inline distB="114300" distT="114300" distL="114300" distR="114300">
            <wp:extent cx="5731200" cy="42926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Montserrat" w:cs="Montserrat" w:eastAsia="Montserrat" w:hAnsi="Montserrat"/>
          <w:i w:val="1"/>
          <w:sz w:val="18"/>
          <w:szCs w:val="18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18"/>
          <w:szCs w:val="18"/>
          <w:rtl w:val="0"/>
        </w:rPr>
        <w:t xml:space="preserve">Miembros del equipo de ICEA y pfs el día de la presentación del informe</w:t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Madrid, 12 de diciembre de 2022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- Debido a la crisis económica en la que nos encontramos,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España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se ha convertido en el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tercer país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de la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Unión Europea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con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mayor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volumen de préstamos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morosos.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La lista de empresas con facturas impagadas se ha incrementado de forma alarmante, en parte, como consecuencia de la pandemia del coronavirus. En 2022, distintos estudios han revelado que un 65% de las empresas presentan impagos, un 2% más que el año anterior, y aún podría empeorar en tanto sigan venciendo los créditos ICO.</w:t>
      </w:r>
    </w:p>
    <w:p w:rsidR="00000000" w:rsidDel="00000000" w:rsidP="00000000" w:rsidRDefault="00000000" w:rsidRPr="00000000" w14:paraId="0000000B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En este contexto, es lógico pensar que están creciendo las reclamaciones judiciales por los impagos. En la actualidad,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9 de cada 10 entidades aseguradoras disponen de algún tipo de gestión activa para el recobro o la recuperación de siniestros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, siendo esta última la más extendida.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La rentabilidad es el motivo principal.  </w:t>
      </w:r>
    </w:p>
    <w:p w:rsidR="00000000" w:rsidDel="00000000" w:rsidP="00000000" w:rsidRDefault="00000000" w:rsidRPr="00000000" w14:paraId="0000000D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Esta es una de las conclusiones que se desprenden del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último estudio sobre la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“Recuperación de siniestros en el sector asegurador”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, realizado por </w:t>
      </w:r>
      <w:hyperlink r:id="rId7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sz w:val="24"/>
            <w:szCs w:val="24"/>
            <w:u w:val="single"/>
            <w:rtl w:val="0"/>
          </w:rPr>
          <w:t xml:space="preserve">ICEA</w:t>
        </w:r>
      </w:hyperlink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(el 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ervicio de estadísticas y estudios del sector seguros en España),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en colaboración con </w:t>
      </w:r>
      <w:hyperlink r:id="rId8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sz w:val="24"/>
            <w:szCs w:val="24"/>
            <w:u w:val="single"/>
            <w:rtl w:val="0"/>
          </w:rPr>
          <w:t xml:space="preserve">pfs</w:t>
        </w:r>
      </w:hyperlink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(c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ompañía española especializada en generar eficiencias en los procesos financieros y de cobro, aseguradores, legales y digitales).</w:t>
      </w:r>
    </w:p>
    <w:p w:rsidR="00000000" w:rsidDel="00000000" w:rsidP="00000000" w:rsidRDefault="00000000" w:rsidRPr="00000000" w14:paraId="0000000F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Además,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m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ás del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85,7% de las entidades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de la muestra cuentan con un plan claro y comunicado para llevar a cabo una estrategia de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 recuperación de siniestros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. El 92% de estas compañías tienen un departamento o equipo específico para ello. La mayoría de ellas, comparten este tipo de gestiones con otros departamentos dentro de la empresa, para unir sinergias y aumentar la eficiencia del proceso.</w:t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El informe de ICEA y pfs, también ha analizado el enfoque bajo el cual se realizan las reclamaciones del proceso de recuperación de siniestros.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6 de cada 10 entidades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que realizan estas reclamaciones, la llevan a cabo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forma amistosa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. No obstante, se dedica mucho tiempo en recursos de personal en este sentido: concretamente,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el 83% del tiempo empleado en los procesos de reclamación. </w:t>
      </w:r>
    </w:p>
    <w:p w:rsidR="00000000" w:rsidDel="00000000" w:rsidP="00000000" w:rsidRDefault="00000000" w:rsidRPr="00000000" w14:paraId="00000013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Analizando la parte cuantitativa del estudio, y más en concreto el importe medio recobrado sobre las reclamaciones enviadas,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el montante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recobrado por vía judicial es mayor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, lo que justifica que las entidades inicien estos procesos.  </w:t>
      </w:r>
    </w:p>
    <w:p w:rsidR="00000000" w:rsidDel="00000000" w:rsidP="00000000" w:rsidRDefault="00000000" w:rsidRPr="00000000" w14:paraId="00000015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En cuanto al importe recobrado sobre primas, los resultados arrojan que  el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sector del automóvil es el producto donde tiene un mayor impacto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, y más específicamente, en las reclamaciones derivadas del convenio CICOS, cuya principal función es hacer más eficiente la tramitación de los siniestros entre entidades. </w:t>
      </w:r>
    </w:p>
    <w:p w:rsidR="00000000" w:rsidDel="00000000" w:rsidP="00000000" w:rsidRDefault="00000000" w:rsidRPr="00000000" w14:paraId="00000017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80" w:lineRule="auto"/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Para llevar a cabo el estudio, ICEA realizó una encuesta entre las aseguradoras de su mercado. Contó con la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participación de 26 entidades o grupos aseguradores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, que representan una cuota de mercado del 40% del volumen de primas del sector asegurador, calculado sobre los ramos de estudio de este informe.</w:t>
      </w:r>
    </w:p>
    <w:p w:rsidR="00000000" w:rsidDel="00000000" w:rsidP="00000000" w:rsidRDefault="00000000" w:rsidRPr="00000000" w14:paraId="00000019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Los resultados fueron presentados en la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sede de ICEA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.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Como explicó durante el acto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José Manuel Jiménez, socio jurídico en pfs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,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la gestión de recobros “se ha situado como uno de los principales factores a tener en cuenta en los próximos años”.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La crisis está afectando, y va a seguir afectando de forma importante a las personas físicas, autónomos y pequeñas empresas y, en consiguiente, al sector seguros en su conjunto.</w:t>
      </w:r>
    </w:p>
    <w:p w:rsidR="00000000" w:rsidDel="00000000" w:rsidP="00000000" w:rsidRDefault="00000000" w:rsidRPr="00000000" w14:paraId="0000001A">
      <w:pPr>
        <w:jc w:val="both"/>
        <w:rPr>
          <w:rFonts w:ascii="Montserrat" w:cs="Montserrat" w:eastAsia="Montserrat" w:hAnsi="Montserrat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both"/>
        <w:rPr>
          <w:rFonts w:ascii="Montserrat" w:cs="Montserrat" w:eastAsia="Montserrat" w:hAnsi="Montserrat"/>
          <w:b w:val="1"/>
          <w:sz w:val="24"/>
          <w:szCs w:val="24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Más allá del panorama socioeconómico que estamos atravesando, otro de los puntos con calado importante comentado en el acto, es la necesidad de transformación de los procesos de cobro y recobro aplicando la Inteligencia Artificial.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“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Gestionar el impago de forma eficiente,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highlight w:val="white"/>
          <w:rtl w:val="0"/>
        </w:rPr>
        <w:t xml:space="preserve"> impacta de forma directa y positiva en las cuentas de resultados de las compañías aseguradoras y para ello es necesario hacerlo mediante soluciones tecnológicas enfocadas, especializadas y eliminen al máximo la fricción del momento del cobro”, concluyó el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highlight w:val="white"/>
          <w:rtl w:val="0"/>
        </w:rPr>
        <w:t xml:space="preserve"> CEO de pfs, Agustín Rodríguez.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Sobre pfs: </w:t>
      </w:r>
    </w:p>
    <w:p w:rsidR="00000000" w:rsidDel="00000000" w:rsidP="00000000" w:rsidRDefault="00000000" w:rsidRPr="00000000" w14:paraId="0000001E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Bdr>
          <w:top w:color="auto" w:space="0" w:sz="0" w:val="none"/>
          <w:left w:color="auto" w:space="0" w:sz="0" w:val="none"/>
          <w:bottom w:color="auto" w:space="14" w:sz="0" w:val="none"/>
          <w:right w:color="auto" w:space="0" w:sz="0" w:val="none"/>
        </w:pBdr>
        <w:shd w:fill="ffffff" w:val="clear"/>
        <w:spacing w:line="276" w:lineRule="auto"/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pfs es una compañía multinacional que da cobertura mediante sus soluciones tecnológicas al ciclo de vida integral del crédito, desde la originación hasta la gestión de cobros e impagos, incluso en su proceso legal, haciendo los dichos procesos más eficientes. Son fabricantes de soluciones de software propias, de modelos analíticos y de algoritmos propios para enriquecer los datos de crédito, generando impactos positivos en la cuenta de resultados de sus clientes. Cuenta con más de 500 empleados, y un crecimiento medio en los últimos cuatro años del 50% anual. Tiene sedes en España, Portugal y México, y clientes en 26 países.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color="auto" w:space="0" w:sz="0" w:val="none"/>
          <w:left w:color="auto" w:space="0" w:sz="0" w:val="none"/>
          <w:bottom w:color="auto" w:space="14" w:sz="0" w:val="none"/>
          <w:right w:color="auto" w:space="0" w:sz="0" w:val="none"/>
        </w:pBdr>
        <w:shd w:fill="ffffff" w:val="clear"/>
        <w:spacing w:line="276" w:lineRule="auto"/>
        <w:jc w:val="both"/>
        <w:rPr>
          <w:rFonts w:ascii="Montserrat" w:cs="Montserrat" w:eastAsia="Montserrat" w:hAnsi="Montserrat"/>
          <w:sz w:val="20"/>
          <w:szCs w:val="20"/>
        </w:rPr>
      </w:pPr>
      <w:hyperlink r:id="rId9">
        <w:r w:rsidDel="00000000" w:rsidR="00000000" w:rsidRPr="00000000">
          <w:rPr>
            <w:rFonts w:ascii="Montserrat" w:cs="Montserrat" w:eastAsia="Montserrat" w:hAnsi="Montserrat"/>
            <w:sz w:val="20"/>
            <w:szCs w:val="20"/>
            <w:u w:val="single"/>
            <w:rtl w:val="0"/>
          </w:rPr>
          <w:t xml:space="preserve">pfsgroup.es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Sobre ICEA: </w:t>
      </w:r>
    </w:p>
    <w:p w:rsidR="00000000" w:rsidDel="00000000" w:rsidP="00000000" w:rsidRDefault="00000000" w:rsidRPr="00000000" w14:paraId="00000023">
      <w:pPr>
        <w:jc w:val="both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highlight w:val="white"/>
          <w:rtl w:val="0"/>
        </w:rPr>
        <w:t xml:space="preserve">Fundada en 1963, ICEA (Investigación Cooperativa entre Entidades Aseguradoras y Fondos de Pensiones), tiene encomendada la función de Servicio de Estudios del Sector Asegurador Español, siendo el organismo encargado de realizar y publicar todas las estadísticas sectoriales. Asimismo, realiza trabajos de Investigación sobre temas relacionados con la práctica aseguradora, con el objetivo de analizar tendencias y comportamientos de mercado; además de proporcionar servicios de Formación y Asesoría sobre materias que afectan a la actividad aseguradora. </w:t>
      </w:r>
    </w:p>
    <w:p w:rsidR="00000000" w:rsidDel="00000000" w:rsidP="00000000" w:rsidRDefault="00000000" w:rsidRPr="00000000" w14:paraId="00000025">
      <w:pPr>
        <w:jc w:val="both"/>
        <w:rPr>
          <w:rFonts w:ascii="Montserrat" w:cs="Montserrat" w:eastAsia="Montserrat" w:hAnsi="Montserrat"/>
          <w:sz w:val="20"/>
          <w:szCs w:val="20"/>
          <w:highlight w:val="white"/>
        </w:rPr>
      </w:pPr>
      <w:hyperlink r:id="rId10">
        <w:r w:rsidDel="00000000" w:rsidR="00000000" w:rsidRPr="00000000">
          <w:rPr>
            <w:rFonts w:ascii="Montserrat" w:cs="Montserrat" w:eastAsia="Montserrat" w:hAnsi="Montserrat"/>
            <w:sz w:val="20"/>
            <w:szCs w:val="20"/>
            <w:highlight w:val="white"/>
            <w:u w:val="single"/>
            <w:rtl w:val="0"/>
          </w:rPr>
          <w:t xml:space="preserve">icea.es/es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Más información y gestión de entrevistas</w:t>
      </w:r>
    </w:p>
    <w:p w:rsidR="00000000" w:rsidDel="00000000" w:rsidP="00000000" w:rsidRDefault="00000000" w:rsidRPr="00000000" w14:paraId="00000029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Ana Salvá I </w:t>
      </w:r>
      <w:hyperlink r:id="rId11">
        <w:r w:rsidDel="00000000" w:rsidR="00000000" w:rsidRPr="00000000">
          <w:rPr>
            <w:rFonts w:ascii="Montserrat" w:cs="Montserrat" w:eastAsia="Montserrat" w:hAnsi="Montserrat"/>
            <w:sz w:val="24"/>
            <w:szCs w:val="24"/>
            <w:u w:val="single"/>
            <w:rtl w:val="0"/>
          </w:rPr>
          <w:t xml:space="preserve">ana@comms-studio.com</w:t>
        </w:r>
      </w:hyperlink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 I + 34 652799707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12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B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2185988" cy="728663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185988" cy="72866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yperlink" Target="mailto:ana@comms-studio.com" TargetMode="External"/><Relationship Id="rId10" Type="http://schemas.openxmlformats.org/officeDocument/2006/relationships/hyperlink" Target="https://www.icea.es/es-ES" TargetMode="External"/><Relationship Id="rId12" Type="http://schemas.openxmlformats.org/officeDocument/2006/relationships/header" Target="header1.xml"/><Relationship Id="rId9" Type="http://schemas.openxmlformats.org/officeDocument/2006/relationships/hyperlink" Target="https://www.pfsgroup.es/" TargetMode="Externa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hyperlink" Target="https://www.icea.es/" TargetMode="External"/><Relationship Id="rId8" Type="http://schemas.openxmlformats.org/officeDocument/2006/relationships/hyperlink" Target="https://www.pfsgroup.es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